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27" w:rsidRPr="005A537B" w:rsidRDefault="007A0027" w:rsidP="007A0027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</w:p>
    <w:p w:rsidR="007A0027" w:rsidRPr="005A537B" w:rsidRDefault="007A0027" w:rsidP="007A0027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7A0027" w:rsidRPr="005A537B" w:rsidRDefault="007A0027" w:rsidP="007A0027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5A537B">
        <w:rPr>
          <w:rFonts w:asciiTheme="minorBidi" w:hAnsiTheme="minorBidi"/>
          <w:b/>
          <w:bCs/>
          <w:sz w:val="32"/>
          <w:szCs w:val="32"/>
          <w:rtl/>
        </w:rPr>
        <w:t xml:space="preserve">הגדרה מחודשת של ההשמנה על ידי </w:t>
      </w:r>
      <w:r w:rsidRPr="005A537B">
        <w:rPr>
          <w:rFonts w:asciiTheme="minorBidi" w:hAnsiTheme="minorBidi"/>
          <w:b/>
          <w:bCs/>
          <w:sz w:val="32"/>
          <w:szCs w:val="32"/>
        </w:rPr>
        <w:t>AACE</w:t>
      </w:r>
    </w:p>
    <w:p w:rsidR="00861F61" w:rsidRPr="005A537B" w:rsidRDefault="0023755D" w:rsidP="00455E7A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5A537B">
        <w:rPr>
          <w:rFonts w:asciiTheme="minorBidi" w:hAnsiTheme="minorBidi"/>
          <w:b/>
          <w:bCs/>
          <w:sz w:val="32"/>
          <w:szCs w:val="32"/>
          <w:lang w:bidi="ar-SA"/>
        </w:rPr>
        <w:t>LAS VEGAS, Nevada</w:t>
      </w:r>
    </w:p>
    <w:p w:rsidR="00455E7A" w:rsidRPr="005A537B" w:rsidRDefault="00455E7A" w:rsidP="00455E7A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5A537B">
        <w:rPr>
          <w:rFonts w:asciiTheme="minorBidi" w:hAnsiTheme="minorBidi"/>
          <w:b/>
          <w:bCs/>
          <w:sz w:val="32"/>
          <w:szCs w:val="32"/>
          <w:rtl/>
        </w:rPr>
        <w:t>מאי 2014</w:t>
      </w:r>
    </w:p>
    <w:p w:rsidR="00EB6F55" w:rsidRPr="005A537B" w:rsidRDefault="00EB6F55" w:rsidP="00455E7A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24"/>
          <w:szCs w:val="24"/>
          <w:rtl/>
        </w:rPr>
      </w:pPr>
      <w:r w:rsidRPr="005A537B">
        <w:rPr>
          <w:rFonts w:asciiTheme="minorBidi" w:hAnsiTheme="minorBidi"/>
          <w:sz w:val="24"/>
          <w:szCs w:val="24"/>
          <w:rtl/>
        </w:rPr>
        <w:t>תרגום – אבישג לבקוביץ</w:t>
      </w:r>
    </w:p>
    <w:p w:rsidR="00455E7A" w:rsidRPr="005A537B" w:rsidRDefault="00455E7A" w:rsidP="00455E7A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24"/>
          <w:szCs w:val="24"/>
          <w:rtl/>
        </w:rPr>
      </w:pPr>
    </w:p>
    <w:p w:rsidR="00414D7F" w:rsidRPr="005A537B" w:rsidRDefault="00861F61" w:rsidP="00694335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A537B">
        <w:rPr>
          <w:rFonts w:asciiTheme="minorBidi" w:hAnsiTheme="minorBidi"/>
          <w:sz w:val="24"/>
          <w:szCs w:val="24"/>
          <w:rtl/>
        </w:rPr>
        <w:t>הגדרה חדשה להשמנה המבוססת על</w:t>
      </w:r>
      <w:r w:rsidR="00414D7F" w:rsidRPr="005A537B">
        <w:rPr>
          <w:rFonts w:asciiTheme="minorBidi" w:hAnsiTheme="minorBidi"/>
          <w:sz w:val="24"/>
          <w:szCs w:val="24"/>
          <w:rtl/>
        </w:rPr>
        <w:t xml:space="preserve"> </w:t>
      </w:r>
      <w:r w:rsidR="00455E7A" w:rsidRPr="005A537B">
        <w:rPr>
          <w:rFonts w:asciiTheme="minorBidi" w:hAnsiTheme="minorBidi"/>
          <w:sz w:val="24"/>
          <w:szCs w:val="24"/>
          <w:rtl/>
        </w:rPr>
        <w:t>שקלול</w:t>
      </w:r>
      <w:r w:rsidR="00414D7F" w:rsidRPr="005A537B">
        <w:rPr>
          <w:rFonts w:asciiTheme="minorBidi" w:hAnsiTheme="minorBidi"/>
          <w:sz w:val="24"/>
          <w:szCs w:val="24"/>
          <w:rtl/>
        </w:rPr>
        <w:t xml:space="preserve"> מדד</w:t>
      </w:r>
      <w:r w:rsidRPr="005A537B">
        <w:rPr>
          <w:rFonts w:asciiTheme="minorBidi" w:hAnsiTheme="minorBidi"/>
          <w:sz w:val="24"/>
          <w:szCs w:val="24"/>
          <w:rtl/>
        </w:rPr>
        <w:t xml:space="preserve"> </w:t>
      </w:r>
      <w:r w:rsidRPr="005A537B">
        <w:rPr>
          <w:rFonts w:asciiTheme="minorBidi" w:hAnsiTheme="minorBidi"/>
          <w:sz w:val="24"/>
          <w:szCs w:val="24"/>
        </w:rPr>
        <w:t>BMI</w:t>
      </w:r>
      <w:r w:rsidRPr="005A537B">
        <w:rPr>
          <w:rFonts w:asciiTheme="minorBidi" w:hAnsiTheme="minorBidi"/>
          <w:sz w:val="24"/>
          <w:szCs w:val="24"/>
          <w:rtl/>
        </w:rPr>
        <w:t xml:space="preserve"> וסיבוכי השמנה  הוצעה על ידי </w:t>
      </w:r>
      <w:r w:rsidR="00414D7F" w:rsidRPr="005A537B">
        <w:rPr>
          <w:rFonts w:asciiTheme="minorBidi" w:hAnsiTheme="minorBidi"/>
          <w:sz w:val="24"/>
          <w:szCs w:val="24"/>
          <w:rtl/>
        </w:rPr>
        <w:t xml:space="preserve">שני ארגונים </w:t>
      </w:r>
      <w:r w:rsidR="00217A2C" w:rsidRPr="005A537B">
        <w:rPr>
          <w:rFonts w:asciiTheme="minorBidi" w:hAnsiTheme="minorBidi"/>
          <w:sz w:val="24"/>
          <w:szCs w:val="24"/>
          <w:rtl/>
        </w:rPr>
        <w:t>:</w:t>
      </w:r>
      <w:r w:rsidR="00414D7F" w:rsidRPr="005A537B">
        <w:rPr>
          <w:rFonts w:asciiTheme="minorBidi" w:hAnsiTheme="minorBidi"/>
          <w:color w:val="000000"/>
          <w:sz w:val="24"/>
          <w:szCs w:val="24"/>
          <w:lang w:bidi="ar-SA"/>
        </w:rPr>
        <w:t xml:space="preserve">(AACE)   </w:t>
      </w:r>
      <w:r w:rsidR="009E1003" w:rsidRPr="005A537B">
        <w:rPr>
          <w:rFonts w:asciiTheme="minorBidi" w:hAnsiTheme="minorBidi"/>
          <w:color w:val="000000"/>
          <w:sz w:val="24"/>
          <w:szCs w:val="24"/>
          <w:lang w:bidi="ar-SA"/>
        </w:rPr>
        <w:t xml:space="preserve">American Association of Clinical Endocrinologists </w:t>
      </w:r>
      <w:r w:rsidR="00694335">
        <w:rPr>
          <w:rFonts w:asciiTheme="minorBidi" w:hAnsiTheme="minorBidi" w:hint="cs"/>
          <w:color w:val="000000"/>
          <w:sz w:val="24"/>
          <w:szCs w:val="24"/>
          <w:rtl/>
        </w:rPr>
        <w:t xml:space="preserve"> ו </w:t>
      </w:r>
    </w:p>
    <w:p w:rsidR="00694335" w:rsidRDefault="009E1003" w:rsidP="00694335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5A537B">
        <w:rPr>
          <w:rFonts w:asciiTheme="minorBidi" w:hAnsiTheme="minorBidi"/>
          <w:color w:val="000000"/>
          <w:sz w:val="24"/>
          <w:szCs w:val="24"/>
          <w:lang w:bidi="ar-SA"/>
        </w:rPr>
        <w:t>American College of</w:t>
      </w:r>
      <w:r w:rsidR="00455E7A" w:rsidRPr="005A537B">
        <w:rPr>
          <w:rFonts w:asciiTheme="minorBidi" w:hAnsiTheme="minorBidi"/>
          <w:color w:val="000000"/>
          <w:sz w:val="24"/>
          <w:szCs w:val="24"/>
          <w:lang w:bidi="ar-SA"/>
        </w:rPr>
        <w:t xml:space="preserve"> </w:t>
      </w:r>
      <w:r w:rsidRPr="005A537B">
        <w:rPr>
          <w:rFonts w:asciiTheme="minorBidi" w:hAnsiTheme="minorBidi"/>
          <w:color w:val="000000"/>
          <w:sz w:val="24"/>
          <w:szCs w:val="24"/>
          <w:lang w:bidi="ar-SA"/>
        </w:rPr>
        <w:t xml:space="preserve">Endocrinology </w:t>
      </w:r>
      <w:r w:rsidR="00455E7A" w:rsidRPr="005A537B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694335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694335">
        <w:rPr>
          <w:rFonts w:asciiTheme="minorBidi" w:hAnsiTheme="minorBidi" w:hint="cs"/>
          <w:color w:val="000000"/>
          <w:sz w:val="24"/>
          <w:szCs w:val="24"/>
          <w:rtl/>
        </w:rPr>
        <w:t>(</w:t>
      </w:r>
      <w:r w:rsidR="00694335">
        <w:rPr>
          <w:rFonts w:asciiTheme="minorBidi" w:hAnsiTheme="minorBidi"/>
          <w:color w:val="000000"/>
          <w:sz w:val="24"/>
          <w:szCs w:val="24"/>
        </w:rPr>
        <w:t>(</w:t>
      </w:r>
      <w:r w:rsidR="00694335" w:rsidRPr="00694335">
        <w:rPr>
          <w:rFonts w:asciiTheme="minorBidi" w:hAnsiTheme="minorBidi"/>
          <w:color w:val="000000"/>
          <w:sz w:val="24"/>
          <w:szCs w:val="24"/>
        </w:rPr>
        <w:t>ACE</w:t>
      </w:r>
      <w:r w:rsidR="00694335">
        <w:rPr>
          <w:rFonts w:asciiTheme="minorBidi" w:hAnsiTheme="minorBidi" w:hint="cs"/>
          <w:color w:val="000000"/>
          <w:sz w:val="24"/>
          <w:szCs w:val="24"/>
          <w:rtl/>
        </w:rPr>
        <w:t>.</w:t>
      </w:r>
    </w:p>
    <w:p w:rsidR="00757207" w:rsidRPr="005A537B" w:rsidRDefault="00694335" w:rsidP="00694335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694335">
        <w:rPr>
          <w:rFonts w:asciiTheme="minorBidi" w:hAnsiTheme="minorBidi" w:cs="Arial" w:hint="eastAsia"/>
          <w:color w:val="000000"/>
          <w:sz w:val="24"/>
          <w:szCs w:val="24"/>
          <w:rtl/>
        </w:rPr>
        <w:t>פרופסור</w:t>
      </w:r>
      <w:r w:rsidRPr="00694335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694335">
        <w:rPr>
          <w:rFonts w:asciiTheme="minorBidi" w:hAnsiTheme="minorBidi" w:cs="Arial" w:hint="eastAsia"/>
          <w:color w:val="000000"/>
          <w:sz w:val="24"/>
          <w:szCs w:val="24"/>
          <w:rtl/>
        </w:rPr>
        <w:t>בבית</w:t>
      </w:r>
      <w:r w:rsidRPr="00694335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694335">
        <w:rPr>
          <w:rFonts w:asciiTheme="minorBidi" w:hAnsiTheme="minorBidi" w:cs="Arial" w:hint="eastAsia"/>
          <w:color w:val="000000"/>
          <w:sz w:val="24"/>
          <w:szCs w:val="24"/>
          <w:rtl/>
        </w:rPr>
        <w:t>החולים</w:t>
      </w:r>
      <w:r w:rsidRPr="00694335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694335">
        <w:rPr>
          <w:rFonts w:asciiTheme="minorBidi" w:hAnsiTheme="minorBidi" w:cs="Arial" w:hint="eastAsia"/>
          <w:color w:val="000000"/>
          <w:sz w:val="24"/>
          <w:szCs w:val="24"/>
          <w:rtl/>
        </w:rPr>
        <w:t>הר</w:t>
      </w:r>
      <w:r w:rsidRPr="00694335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694335">
        <w:rPr>
          <w:rFonts w:asciiTheme="minorBidi" w:hAnsiTheme="minorBidi" w:cs="Arial" w:hint="eastAsia"/>
          <w:color w:val="000000"/>
          <w:sz w:val="24"/>
          <w:szCs w:val="24"/>
          <w:rtl/>
        </w:rPr>
        <w:t>סיני</w:t>
      </w:r>
      <w:r w:rsidRPr="00694335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694335">
        <w:rPr>
          <w:rFonts w:asciiTheme="minorBidi" w:hAnsiTheme="minorBidi" w:cs="Arial" w:hint="eastAsia"/>
          <w:color w:val="000000"/>
          <w:sz w:val="24"/>
          <w:szCs w:val="24"/>
          <w:rtl/>
        </w:rPr>
        <w:t>בניו</w:t>
      </w:r>
      <w:r w:rsidRPr="00694335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694335">
        <w:rPr>
          <w:rFonts w:asciiTheme="minorBidi" w:hAnsiTheme="minorBidi" w:cs="Arial" w:hint="eastAsia"/>
          <w:color w:val="000000"/>
          <w:sz w:val="24"/>
          <w:szCs w:val="24"/>
          <w:rtl/>
        </w:rPr>
        <w:t>יורק</w:t>
      </w: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 w:rsidR="0023755D" w:rsidRPr="005A537B">
        <w:rPr>
          <w:rFonts w:asciiTheme="minorBidi" w:hAnsiTheme="minorBidi"/>
          <w:color w:val="000000"/>
          <w:sz w:val="24"/>
          <w:szCs w:val="24"/>
          <w:lang w:bidi="ar-SA"/>
        </w:rPr>
        <w:t xml:space="preserve">Jeffrey I. </w:t>
      </w:r>
      <w:proofErr w:type="spellStart"/>
      <w:r w:rsidR="0023755D" w:rsidRPr="005A537B">
        <w:rPr>
          <w:rFonts w:asciiTheme="minorBidi" w:hAnsiTheme="minorBidi"/>
          <w:color w:val="000000"/>
          <w:sz w:val="24"/>
          <w:szCs w:val="24"/>
          <w:lang w:bidi="ar-SA"/>
        </w:rPr>
        <w:t>Mechanick</w:t>
      </w:r>
      <w:proofErr w:type="spellEnd"/>
      <w:r w:rsidR="0023755D" w:rsidRPr="005A537B">
        <w:rPr>
          <w:rFonts w:asciiTheme="minorBidi" w:hAnsiTheme="minorBidi"/>
          <w:color w:val="000000"/>
          <w:sz w:val="24"/>
          <w:szCs w:val="24"/>
          <w:lang w:bidi="ar-SA"/>
        </w:rPr>
        <w:t xml:space="preserve"> </w:t>
      </w:r>
      <w:r w:rsidR="002F00C6" w:rsidRPr="005A537B">
        <w:rPr>
          <w:rFonts w:asciiTheme="minorBidi" w:hAnsiTheme="minorBidi"/>
          <w:color w:val="000000"/>
          <w:sz w:val="24"/>
          <w:szCs w:val="24"/>
          <w:lang w:bidi="ar-SA"/>
        </w:rPr>
        <w:t xml:space="preserve">         </w:t>
      </w:r>
      <w:r w:rsidR="002F00C6" w:rsidRPr="005A537B">
        <w:rPr>
          <w:rFonts w:asciiTheme="minorBidi" w:hAnsiTheme="minorBidi"/>
          <w:color w:val="000000"/>
          <w:sz w:val="24"/>
          <w:szCs w:val="24"/>
          <w:rtl/>
        </w:rPr>
        <w:t xml:space="preserve">   </w:t>
      </w: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ונשיא </w:t>
      </w:r>
      <w:r>
        <w:rPr>
          <w:rFonts w:asciiTheme="minorBidi" w:hAnsiTheme="minorBidi"/>
          <w:color w:val="000000"/>
          <w:sz w:val="24"/>
          <w:szCs w:val="24"/>
        </w:rPr>
        <w:t>AACE</w:t>
      </w:r>
      <w:r w:rsidR="002F00C6" w:rsidRPr="005A537B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</w:p>
    <w:p w:rsidR="00414D7F" w:rsidRPr="005A537B" w:rsidRDefault="002F00C6" w:rsidP="00CF6BF7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טוען כי </w:t>
      </w:r>
      <w:r w:rsidR="00414D7F" w:rsidRPr="005A537B">
        <w:rPr>
          <w:rFonts w:asciiTheme="minorBidi" w:hAnsiTheme="minorBidi"/>
          <w:color w:val="000000"/>
          <w:sz w:val="24"/>
          <w:szCs w:val="24"/>
          <w:rtl/>
        </w:rPr>
        <w:t xml:space="preserve">ההתייחסות להשמנה 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רק על פי  </w:t>
      </w:r>
      <w:r w:rsidR="00414D7F" w:rsidRPr="005A537B">
        <w:rPr>
          <w:rFonts w:asciiTheme="minorBidi" w:hAnsiTheme="minorBidi"/>
          <w:color w:val="000000"/>
          <w:sz w:val="24"/>
          <w:szCs w:val="24"/>
          <w:rtl/>
        </w:rPr>
        <w:t>מספר המבוטא כ</w:t>
      </w:r>
      <w:r w:rsidR="00EB6F55" w:rsidRPr="005A537B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414D7F" w:rsidRPr="005A537B">
        <w:rPr>
          <w:rFonts w:asciiTheme="minorBidi" w:hAnsiTheme="minorBidi"/>
          <w:color w:val="000000"/>
          <w:sz w:val="24"/>
          <w:szCs w:val="24"/>
        </w:rPr>
        <w:t>BMI</w:t>
      </w:r>
      <w:r w:rsidR="00414D7F" w:rsidRPr="005A537B">
        <w:rPr>
          <w:rFonts w:asciiTheme="minorBidi" w:hAnsiTheme="minorBidi"/>
          <w:color w:val="000000"/>
          <w:sz w:val="24"/>
          <w:szCs w:val="24"/>
          <w:rtl/>
        </w:rPr>
        <w:t xml:space="preserve"> וההתנהלות על פי</w:t>
      </w:r>
      <w:r w:rsidR="00EB6F55" w:rsidRPr="005A537B">
        <w:rPr>
          <w:rFonts w:asciiTheme="minorBidi" w:hAnsiTheme="minorBidi"/>
          <w:color w:val="000000"/>
          <w:sz w:val="24"/>
          <w:szCs w:val="24"/>
          <w:rtl/>
        </w:rPr>
        <w:t>ו</w:t>
      </w:r>
      <w:r w:rsidR="00414D7F" w:rsidRPr="005A537B">
        <w:rPr>
          <w:rFonts w:asciiTheme="minorBidi" w:hAnsiTheme="minorBidi"/>
          <w:color w:val="000000"/>
          <w:sz w:val="24"/>
          <w:szCs w:val="24"/>
          <w:rtl/>
        </w:rPr>
        <w:t xml:space="preserve">  </w:t>
      </w:r>
    </w:p>
    <w:p w:rsidR="002F00C6" w:rsidRPr="005A537B" w:rsidRDefault="00EB6F55" w:rsidP="00694335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 בצורה מוחלטת </w:t>
      </w:r>
      <w:r w:rsidR="00414D7F" w:rsidRPr="005A537B">
        <w:rPr>
          <w:rFonts w:asciiTheme="minorBidi" w:hAnsiTheme="minorBidi"/>
          <w:color w:val="000000"/>
          <w:sz w:val="24"/>
          <w:szCs w:val="24"/>
          <w:rtl/>
        </w:rPr>
        <w:t>יכול</w:t>
      </w:r>
      <w:r w:rsidR="002F00C6" w:rsidRPr="005A537B">
        <w:rPr>
          <w:rFonts w:asciiTheme="minorBidi" w:hAnsiTheme="minorBidi"/>
          <w:color w:val="000000"/>
          <w:sz w:val="24"/>
          <w:szCs w:val="24"/>
          <w:rtl/>
        </w:rPr>
        <w:t>ה</w:t>
      </w:r>
      <w:r w:rsidR="00694335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 w:rsidR="00414D7F" w:rsidRPr="005A537B">
        <w:rPr>
          <w:rFonts w:asciiTheme="minorBidi" w:hAnsiTheme="minorBidi"/>
          <w:color w:val="000000"/>
          <w:sz w:val="24"/>
          <w:szCs w:val="24"/>
          <w:rtl/>
        </w:rPr>
        <w:t xml:space="preserve">להסביר מדוע שכיחות ההשמנה ועודף המשקל לא פחתו </w:t>
      </w:r>
      <w:r w:rsidR="002F00C6" w:rsidRPr="005A537B">
        <w:rPr>
          <w:rFonts w:asciiTheme="minorBidi" w:hAnsiTheme="minorBidi"/>
          <w:color w:val="000000"/>
          <w:sz w:val="24"/>
          <w:szCs w:val="24"/>
          <w:rtl/>
        </w:rPr>
        <w:t>בעשרות השנים האחרונות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>. "</w:t>
      </w:r>
      <w:r w:rsidR="00414D7F" w:rsidRPr="005A537B">
        <w:rPr>
          <w:rFonts w:asciiTheme="minorBidi" w:hAnsiTheme="minorBidi"/>
          <w:color w:val="000000"/>
          <w:sz w:val="24"/>
          <w:szCs w:val="24"/>
          <w:rtl/>
        </w:rPr>
        <w:t xml:space="preserve">ההתנהגות שלנו </w:t>
      </w:r>
      <w:r w:rsidR="002F00C6" w:rsidRPr="005A537B">
        <w:rPr>
          <w:rFonts w:asciiTheme="minorBidi" w:hAnsiTheme="minorBidi"/>
          <w:color w:val="000000"/>
          <w:sz w:val="24"/>
          <w:szCs w:val="24"/>
          <w:rtl/>
        </w:rPr>
        <w:t>מנציחה את בעיית ההשמנה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. </w:t>
      </w:r>
      <w:r w:rsidR="00B63730" w:rsidRPr="005A537B">
        <w:rPr>
          <w:rFonts w:asciiTheme="minorBidi" w:hAnsiTheme="minorBidi"/>
          <w:color w:val="000000"/>
          <w:sz w:val="24"/>
          <w:szCs w:val="24"/>
          <w:rtl/>
        </w:rPr>
        <w:t>ההמלצות החדשות מתמקדות בסיבוכים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 הכרוכים בהשמנה. </w:t>
      </w:r>
      <w:r w:rsidR="00B63730" w:rsidRPr="005A537B">
        <w:rPr>
          <w:rFonts w:asciiTheme="minorBidi" w:hAnsiTheme="minorBidi"/>
          <w:color w:val="000000"/>
          <w:sz w:val="24"/>
          <w:szCs w:val="24"/>
          <w:rtl/>
        </w:rPr>
        <w:t xml:space="preserve">למרות 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ההסכמה </w:t>
      </w:r>
      <w:r w:rsidR="00B63730" w:rsidRPr="005A537B">
        <w:rPr>
          <w:rFonts w:asciiTheme="minorBidi" w:hAnsiTheme="minorBidi"/>
          <w:color w:val="000000"/>
          <w:sz w:val="24"/>
          <w:szCs w:val="24"/>
          <w:rtl/>
        </w:rPr>
        <w:t>כי השמנה הינה מחלה אנו איננו מסכימים  שבסיס ההגדרה צריך להיות מספר אלא תלוי פתו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B63730" w:rsidRPr="005A537B">
        <w:rPr>
          <w:rFonts w:asciiTheme="minorBidi" w:hAnsiTheme="minorBidi"/>
          <w:color w:val="000000"/>
          <w:sz w:val="24"/>
          <w:szCs w:val="24"/>
          <w:rtl/>
        </w:rPr>
        <w:t>פיזיולוגיה  כגון סיכון  או רמת  הסיבוך הרפואי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 הכרוכים בו.</w:t>
      </w:r>
    </w:p>
    <w:p w:rsidR="00CF6BF7" w:rsidRPr="005A537B" w:rsidRDefault="002F00C6" w:rsidP="00363A7E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שינוי </w:t>
      </w:r>
      <w:r w:rsidR="005528F9" w:rsidRPr="005A537B">
        <w:rPr>
          <w:rFonts w:asciiTheme="minorBidi" w:hAnsiTheme="minorBidi"/>
          <w:color w:val="000000"/>
          <w:sz w:val="24"/>
          <w:szCs w:val="24"/>
          <w:rtl/>
        </w:rPr>
        <w:t xml:space="preserve">הגדרת 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>אבחנת ההשמנה</w:t>
      </w:r>
      <w:r w:rsidR="005528F9" w:rsidRPr="005A537B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363A7E">
        <w:rPr>
          <w:rFonts w:asciiTheme="minorBidi" w:hAnsiTheme="minorBidi" w:hint="cs"/>
          <w:color w:val="000000"/>
          <w:sz w:val="24"/>
          <w:szCs w:val="24"/>
          <w:rtl/>
        </w:rPr>
        <w:t xml:space="preserve">שנעשה ב  2013 על ידי ה </w:t>
      </w:r>
      <w:r w:rsidR="00363A7E">
        <w:rPr>
          <w:rFonts w:asciiTheme="minorBidi" w:hAnsiTheme="minorBidi"/>
          <w:color w:val="000000"/>
          <w:sz w:val="24"/>
          <w:szCs w:val="24"/>
        </w:rPr>
        <w:t>AMA</w:t>
      </w:r>
      <w:r w:rsidR="00363A7E">
        <w:rPr>
          <w:rFonts w:asciiTheme="minorBidi" w:hAnsiTheme="minorBidi" w:hint="cs"/>
          <w:color w:val="000000"/>
          <w:sz w:val="24"/>
          <w:szCs w:val="24"/>
          <w:rtl/>
        </w:rPr>
        <w:t xml:space="preserve"> היה </w:t>
      </w:r>
      <w:r w:rsidR="005528F9" w:rsidRPr="005A537B">
        <w:rPr>
          <w:rFonts w:asciiTheme="minorBidi" w:hAnsiTheme="minorBidi"/>
          <w:color w:val="000000"/>
          <w:sz w:val="24"/>
          <w:szCs w:val="24"/>
          <w:rtl/>
        </w:rPr>
        <w:t xml:space="preserve">הצעד האחרון בתהליך הפיתוח של </w:t>
      </w:r>
      <w:r w:rsidR="00363A7E">
        <w:rPr>
          <w:rFonts w:asciiTheme="minorBidi" w:hAnsiTheme="minorBidi" w:hint="cs"/>
          <w:color w:val="000000"/>
          <w:sz w:val="24"/>
          <w:szCs w:val="24"/>
          <w:rtl/>
        </w:rPr>
        <w:t>ה</w:t>
      </w:r>
      <w:r w:rsidR="000854AE" w:rsidRPr="005A537B">
        <w:rPr>
          <w:rFonts w:asciiTheme="minorBidi" w:hAnsiTheme="minorBidi"/>
          <w:color w:val="000000"/>
          <w:sz w:val="24"/>
          <w:szCs w:val="24"/>
          <w:rtl/>
        </w:rPr>
        <w:t xml:space="preserve">גישות </w:t>
      </w:r>
      <w:r w:rsidR="00363A7E">
        <w:rPr>
          <w:rFonts w:asciiTheme="minorBidi" w:hAnsiTheme="minorBidi" w:hint="cs"/>
          <w:color w:val="000000"/>
          <w:sz w:val="24"/>
          <w:szCs w:val="24"/>
          <w:rtl/>
        </w:rPr>
        <w:t>ה</w:t>
      </w:r>
      <w:r w:rsidR="000854AE" w:rsidRPr="005A537B">
        <w:rPr>
          <w:rFonts w:asciiTheme="minorBidi" w:hAnsiTheme="minorBidi"/>
          <w:color w:val="000000"/>
          <w:sz w:val="24"/>
          <w:szCs w:val="24"/>
          <w:rtl/>
        </w:rPr>
        <w:t>חדשות לטיפול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CF6BF7" w:rsidRPr="005A537B">
        <w:rPr>
          <w:rFonts w:asciiTheme="minorBidi" w:hAnsiTheme="minorBidi"/>
          <w:color w:val="000000"/>
          <w:sz w:val="24"/>
          <w:szCs w:val="24"/>
          <w:rtl/>
        </w:rPr>
        <w:t xml:space="preserve">בה </w:t>
      </w:r>
      <w:r w:rsidR="000854AE" w:rsidRPr="005A537B">
        <w:rPr>
          <w:rFonts w:asciiTheme="minorBidi" w:hAnsiTheme="minorBidi"/>
          <w:color w:val="000000"/>
          <w:sz w:val="24"/>
          <w:szCs w:val="24"/>
          <w:rtl/>
        </w:rPr>
        <w:t>כמחלה כרונית</w:t>
      </w:r>
      <w:r w:rsidR="00CF6BF7" w:rsidRPr="005A537B">
        <w:rPr>
          <w:rFonts w:asciiTheme="minorBidi" w:hAnsiTheme="minorBidi"/>
          <w:color w:val="000000"/>
          <w:sz w:val="24"/>
          <w:szCs w:val="24"/>
          <w:rtl/>
        </w:rPr>
        <w:t>.</w:t>
      </w:r>
    </w:p>
    <w:p w:rsidR="000854AE" w:rsidRPr="005A537B" w:rsidRDefault="000854AE" w:rsidP="00CF6BF7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הצורך  בהגדרה חדשה היה בין הרעיונות העיקריים  שהועלו במפגש שהתקיים במרץ 2014 וכלל משתתפים ממערכת הבריאות </w:t>
      </w:r>
      <w:r w:rsidR="002F00C6" w:rsidRPr="005A537B">
        <w:rPr>
          <w:rFonts w:asciiTheme="minorBidi" w:hAnsiTheme="minorBidi"/>
          <w:color w:val="000000"/>
          <w:sz w:val="24"/>
          <w:szCs w:val="24"/>
          <w:rtl/>
        </w:rPr>
        <w:t>,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המחקר </w:t>
      </w:r>
      <w:r w:rsidR="002F00C6" w:rsidRPr="005A537B">
        <w:rPr>
          <w:rFonts w:asciiTheme="minorBidi" w:hAnsiTheme="minorBidi"/>
          <w:color w:val="000000"/>
          <w:sz w:val="24"/>
          <w:szCs w:val="24"/>
          <w:rtl/>
        </w:rPr>
        <w:t>,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>המדע</w:t>
      </w:r>
      <w:r w:rsidR="002F00C6" w:rsidRPr="005A537B">
        <w:rPr>
          <w:rFonts w:asciiTheme="minorBidi" w:hAnsiTheme="minorBidi"/>
          <w:color w:val="000000"/>
          <w:sz w:val="24"/>
          <w:szCs w:val="24"/>
          <w:rtl/>
        </w:rPr>
        <w:t>,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 הממשל</w:t>
      </w:r>
      <w:r w:rsidR="002F00C6" w:rsidRPr="005A537B">
        <w:rPr>
          <w:rFonts w:asciiTheme="minorBidi" w:hAnsiTheme="minorBidi"/>
          <w:color w:val="000000"/>
          <w:sz w:val="24"/>
          <w:szCs w:val="24"/>
          <w:rtl/>
        </w:rPr>
        <w:t>,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 התעשייה</w:t>
      </w:r>
      <w:r w:rsidR="002F00C6" w:rsidRPr="005A537B">
        <w:rPr>
          <w:rFonts w:asciiTheme="minorBidi" w:hAnsiTheme="minorBidi"/>
          <w:color w:val="000000"/>
          <w:sz w:val="24"/>
          <w:szCs w:val="24"/>
          <w:rtl/>
        </w:rPr>
        <w:t>,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 הביטוח והחוק</w:t>
      </w:r>
      <w:r w:rsidR="002F00C6" w:rsidRPr="005A537B">
        <w:rPr>
          <w:rFonts w:asciiTheme="minorBidi" w:hAnsiTheme="minorBidi"/>
          <w:color w:val="000000"/>
          <w:sz w:val="24"/>
          <w:szCs w:val="24"/>
          <w:rtl/>
        </w:rPr>
        <w:t>.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</w:p>
    <w:p w:rsidR="000854AE" w:rsidRPr="005A537B" w:rsidRDefault="000854AE" w:rsidP="00363A7E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5A537B">
        <w:rPr>
          <w:rFonts w:asciiTheme="minorBidi" w:hAnsiTheme="minorBidi"/>
          <w:color w:val="000000"/>
          <w:sz w:val="24"/>
          <w:szCs w:val="24"/>
          <w:rtl/>
        </w:rPr>
        <w:t>המסמך שנשלח</w:t>
      </w:r>
      <w:r w:rsidR="00007D7C" w:rsidRPr="005A537B">
        <w:rPr>
          <w:rFonts w:asciiTheme="minorBidi" w:hAnsiTheme="minorBidi"/>
          <w:color w:val="000000"/>
          <w:sz w:val="24"/>
          <w:szCs w:val="24"/>
          <w:rtl/>
        </w:rPr>
        <w:t xml:space="preserve"> על ידי </w:t>
      </w:r>
      <w:r w:rsidR="00007D7C" w:rsidRPr="005A537B">
        <w:rPr>
          <w:rFonts w:asciiTheme="minorBidi" w:hAnsiTheme="minorBidi"/>
          <w:color w:val="000000"/>
          <w:sz w:val="24"/>
          <w:szCs w:val="24"/>
          <w:lang w:bidi="ar-SA"/>
        </w:rPr>
        <w:t xml:space="preserve"> AACE </w:t>
      </w:r>
      <w:r w:rsidR="00007D7C" w:rsidRPr="005A537B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 למשתתפים קודם לחשיפה הציבורית קרא לה</w:t>
      </w:r>
      <w:r w:rsidR="00007D7C" w:rsidRPr="005A537B">
        <w:rPr>
          <w:rFonts w:asciiTheme="minorBidi" w:hAnsiTheme="minorBidi"/>
          <w:color w:val="000000"/>
          <w:sz w:val="24"/>
          <w:szCs w:val="24"/>
          <w:rtl/>
        </w:rPr>
        <w:t xml:space="preserve">גדרת 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החולים על פי </w:t>
      </w:r>
      <w:r w:rsidRPr="005A537B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2F00C6" w:rsidRPr="005A537B">
        <w:rPr>
          <w:rFonts w:asciiTheme="minorBidi" w:hAnsiTheme="minorBidi"/>
          <w:color w:val="000000"/>
          <w:sz w:val="24"/>
          <w:szCs w:val="24"/>
          <w:rtl/>
        </w:rPr>
        <w:t xml:space="preserve">שקלול ערך </w:t>
      </w:r>
      <w:r w:rsidRPr="005A537B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5A537B">
        <w:rPr>
          <w:rFonts w:asciiTheme="minorBidi" w:hAnsiTheme="minorBidi"/>
          <w:color w:val="000000"/>
          <w:sz w:val="24"/>
          <w:szCs w:val="24"/>
        </w:rPr>
        <w:t>BMI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2F00C6" w:rsidRPr="005A537B">
        <w:rPr>
          <w:rFonts w:asciiTheme="minorBidi" w:hAnsiTheme="minorBidi"/>
          <w:color w:val="000000"/>
          <w:sz w:val="24"/>
          <w:szCs w:val="24"/>
          <w:rtl/>
        </w:rPr>
        <w:t xml:space="preserve">עם </w:t>
      </w:r>
      <w:r w:rsidR="00007D7C" w:rsidRPr="005A537B">
        <w:rPr>
          <w:rFonts w:asciiTheme="minorBidi" w:hAnsiTheme="minorBidi"/>
          <w:color w:val="000000"/>
          <w:sz w:val="24"/>
          <w:szCs w:val="24"/>
          <w:rtl/>
        </w:rPr>
        <w:t xml:space="preserve">מספר הסיבוכים הקשורים להשמנה </w:t>
      </w:r>
      <w:r w:rsidR="002F00C6" w:rsidRPr="005A537B">
        <w:rPr>
          <w:rFonts w:asciiTheme="minorBidi" w:hAnsiTheme="minorBidi"/>
          <w:color w:val="000000"/>
          <w:sz w:val="24"/>
          <w:szCs w:val="24"/>
          <w:rtl/>
        </w:rPr>
        <w:t>וחומרתם</w:t>
      </w:r>
      <w:r w:rsidR="00007D7C" w:rsidRPr="005A537B">
        <w:rPr>
          <w:rFonts w:asciiTheme="minorBidi" w:hAnsiTheme="minorBidi"/>
          <w:color w:val="000000"/>
          <w:sz w:val="24"/>
          <w:szCs w:val="24"/>
          <w:rtl/>
        </w:rPr>
        <w:t xml:space="preserve"> ועל פי  ההגדרה להמליץ על טיפול</w:t>
      </w:r>
      <w:r w:rsidR="002F00C6" w:rsidRPr="005A537B">
        <w:rPr>
          <w:rFonts w:asciiTheme="minorBidi" w:hAnsiTheme="minorBidi"/>
          <w:color w:val="000000"/>
          <w:sz w:val="24"/>
          <w:szCs w:val="24"/>
          <w:rtl/>
        </w:rPr>
        <w:t xml:space="preserve"> מתאים.</w:t>
      </w:r>
    </w:p>
    <w:p w:rsidR="00495CAD" w:rsidRPr="005A537B" w:rsidRDefault="00B63730" w:rsidP="00363A7E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5A537B">
        <w:rPr>
          <w:rFonts w:asciiTheme="minorBidi" w:hAnsiTheme="minorBidi"/>
          <w:color w:val="000000"/>
          <w:sz w:val="24"/>
          <w:szCs w:val="24"/>
          <w:rtl/>
        </w:rPr>
        <w:t>דר</w:t>
      </w:r>
      <w:r w:rsidR="00363A7E">
        <w:rPr>
          <w:rFonts w:asciiTheme="minorBidi" w:hAnsiTheme="minorBidi" w:hint="cs"/>
          <w:color w:val="000000"/>
          <w:sz w:val="24"/>
          <w:szCs w:val="24"/>
          <w:rtl/>
        </w:rPr>
        <w:t>'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5A537B">
        <w:rPr>
          <w:rFonts w:asciiTheme="minorBidi" w:hAnsiTheme="minorBidi"/>
          <w:color w:val="000000"/>
          <w:sz w:val="24"/>
          <w:szCs w:val="24"/>
        </w:rPr>
        <w:t>Garvey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 יו"ר הכנס בו פורסמה ההגדרה  החדשה אומר :</w:t>
      </w:r>
      <w:r w:rsidR="00363A7E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 w:rsidR="00007D7C" w:rsidRPr="005A537B">
        <w:rPr>
          <w:rFonts w:asciiTheme="minorBidi" w:hAnsiTheme="minorBidi"/>
          <w:color w:val="000000"/>
          <w:sz w:val="24"/>
          <w:szCs w:val="24"/>
          <w:rtl/>
        </w:rPr>
        <w:t xml:space="preserve">"אנו משתמשים בהורדת משקל כטיפול </w:t>
      </w:r>
      <w:r w:rsidR="005A537B">
        <w:rPr>
          <w:rFonts w:asciiTheme="minorBidi" w:hAnsiTheme="minorBidi" w:hint="cs"/>
          <w:color w:val="000000"/>
          <w:sz w:val="24"/>
          <w:szCs w:val="24"/>
          <w:rtl/>
        </w:rPr>
        <w:t>ב</w:t>
      </w:r>
      <w:r w:rsidR="00007D7C" w:rsidRPr="005A537B">
        <w:rPr>
          <w:rFonts w:asciiTheme="minorBidi" w:hAnsiTheme="minorBidi"/>
          <w:color w:val="000000"/>
          <w:sz w:val="24"/>
          <w:szCs w:val="24"/>
          <w:rtl/>
        </w:rPr>
        <w:t>סיבוכי</w:t>
      </w:r>
      <w:r w:rsidR="005A537B">
        <w:rPr>
          <w:rFonts w:asciiTheme="minorBidi" w:hAnsiTheme="minorBidi" w:hint="cs"/>
          <w:color w:val="000000"/>
          <w:sz w:val="24"/>
          <w:szCs w:val="24"/>
          <w:rtl/>
        </w:rPr>
        <w:t xml:space="preserve"> ה</w:t>
      </w:r>
      <w:r w:rsidR="00007D7C" w:rsidRPr="005A537B">
        <w:rPr>
          <w:rFonts w:asciiTheme="minorBidi" w:hAnsiTheme="minorBidi"/>
          <w:color w:val="000000"/>
          <w:sz w:val="24"/>
          <w:szCs w:val="24"/>
          <w:rtl/>
        </w:rPr>
        <w:t>השמנה במודל רפואי</w:t>
      </w:r>
      <w:r w:rsidR="005A537B">
        <w:rPr>
          <w:rFonts w:asciiTheme="minorBidi" w:hAnsiTheme="minorBidi" w:hint="cs"/>
          <w:color w:val="000000"/>
          <w:sz w:val="24"/>
          <w:szCs w:val="24"/>
          <w:rtl/>
        </w:rPr>
        <w:t>,</w:t>
      </w:r>
      <w:r w:rsidR="00007D7C" w:rsidRPr="005A537B">
        <w:rPr>
          <w:rFonts w:asciiTheme="minorBidi" w:hAnsiTheme="minorBidi"/>
          <w:color w:val="000000"/>
          <w:sz w:val="24"/>
          <w:szCs w:val="24"/>
          <w:rtl/>
        </w:rPr>
        <w:t xml:space="preserve"> שתוכנן לטיפול במחלות. </w:t>
      </w:r>
      <w:r w:rsidR="002404AD" w:rsidRPr="005A537B">
        <w:rPr>
          <w:rFonts w:asciiTheme="minorBidi" w:hAnsiTheme="minorBidi"/>
          <w:color w:val="000000"/>
          <w:sz w:val="24"/>
          <w:szCs w:val="24"/>
          <w:rtl/>
        </w:rPr>
        <w:t xml:space="preserve">זה לא 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רמת ה </w:t>
      </w:r>
      <w:r w:rsidR="002404AD" w:rsidRPr="005A537B">
        <w:rPr>
          <w:rFonts w:asciiTheme="minorBidi" w:hAnsiTheme="minorBidi"/>
          <w:color w:val="000000"/>
          <w:sz w:val="24"/>
          <w:szCs w:val="24"/>
        </w:rPr>
        <w:t>BMI</w:t>
      </w:r>
      <w:r w:rsidR="002404AD" w:rsidRPr="005A537B">
        <w:rPr>
          <w:rFonts w:asciiTheme="minorBidi" w:hAnsiTheme="minorBidi"/>
          <w:color w:val="000000"/>
          <w:sz w:val="24"/>
          <w:szCs w:val="24"/>
          <w:rtl/>
        </w:rPr>
        <w:t xml:space="preserve">  שחשובה אלא  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>האופן שבו היא מ</w:t>
      </w:r>
      <w:r w:rsidR="002404AD" w:rsidRPr="005A537B">
        <w:rPr>
          <w:rFonts w:asciiTheme="minorBidi" w:hAnsiTheme="minorBidi"/>
          <w:color w:val="000000"/>
          <w:sz w:val="24"/>
          <w:szCs w:val="24"/>
          <w:rtl/>
        </w:rPr>
        <w:t>שפיעה על בריאות האדם  במושגים של נוכחות וחומרת סיבוכים הקשורים בהשמנה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>,</w:t>
      </w:r>
      <w:r w:rsidR="00495CAD" w:rsidRPr="005A537B">
        <w:rPr>
          <w:rFonts w:asciiTheme="minorBidi" w:hAnsiTheme="minorBidi"/>
          <w:color w:val="000000"/>
          <w:sz w:val="24"/>
          <w:szCs w:val="24"/>
          <w:rtl/>
        </w:rPr>
        <w:t xml:space="preserve"> הבסיס לשינוי 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האבחנה </w:t>
      </w:r>
      <w:r w:rsidR="00495CAD" w:rsidRPr="005A537B">
        <w:rPr>
          <w:rFonts w:asciiTheme="minorBidi" w:hAnsiTheme="minorBidi"/>
          <w:color w:val="000000"/>
          <w:sz w:val="24"/>
          <w:szCs w:val="24"/>
          <w:rtl/>
        </w:rPr>
        <w:t xml:space="preserve">היה הצורך בדיאגנוזה בעלת משמעות קלינית שתכוון 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לטיפול יותר ממוקד במה </w:t>
      </w:r>
      <w:r w:rsidR="00495CAD" w:rsidRPr="005A537B">
        <w:rPr>
          <w:rFonts w:asciiTheme="minorBidi" w:hAnsiTheme="minorBidi"/>
          <w:color w:val="000000"/>
          <w:sz w:val="24"/>
          <w:szCs w:val="24"/>
          <w:rtl/>
        </w:rPr>
        <w:t>מטפלים ו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מדוע </w:t>
      </w:r>
      <w:r w:rsidR="00495CAD" w:rsidRPr="005A537B">
        <w:rPr>
          <w:rFonts w:asciiTheme="minorBidi" w:hAnsiTheme="minorBidi"/>
          <w:color w:val="000000"/>
          <w:sz w:val="24"/>
          <w:szCs w:val="24"/>
          <w:rtl/>
        </w:rPr>
        <w:t xml:space="preserve"> מטפלים</w:t>
      </w:r>
      <w:r w:rsidR="005A537B">
        <w:rPr>
          <w:rFonts w:asciiTheme="minorBidi" w:hAnsiTheme="minorBidi" w:hint="cs"/>
          <w:color w:val="000000"/>
          <w:sz w:val="24"/>
          <w:szCs w:val="24"/>
          <w:rtl/>
        </w:rPr>
        <w:t>.</w:t>
      </w:r>
      <w:r w:rsidR="00495CAD" w:rsidRPr="005A537B">
        <w:rPr>
          <w:rFonts w:asciiTheme="minorBidi" w:hAnsiTheme="minorBidi"/>
          <w:color w:val="000000"/>
          <w:sz w:val="24"/>
          <w:szCs w:val="24"/>
          <w:rtl/>
        </w:rPr>
        <w:t>"</w:t>
      </w:r>
    </w:p>
    <w:p w:rsidR="00CF6BF7" w:rsidRPr="005A537B" w:rsidRDefault="00CF6BF7" w:rsidP="00CF6BF7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</w:p>
    <w:p w:rsidR="00CF6BF7" w:rsidRPr="005A537B" w:rsidRDefault="00CF6BF7" w:rsidP="00CF6BF7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</w:p>
    <w:p w:rsidR="00CF6BF7" w:rsidRPr="005A537B" w:rsidRDefault="00CF6BF7" w:rsidP="00CF6BF7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</w:p>
    <w:p w:rsidR="00CF6BF7" w:rsidRPr="005A537B" w:rsidRDefault="00CF6BF7" w:rsidP="00CF6BF7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</w:p>
    <w:p w:rsidR="00CF6BF7" w:rsidRPr="005A537B" w:rsidRDefault="00CF6BF7" w:rsidP="00CF6BF7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</w:p>
    <w:p w:rsidR="002404AD" w:rsidRPr="005A537B" w:rsidRDefault="00B63730" w:rsidP="005A537B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b/>
          <w:bCs/>
          <w:color w:val="000000"/>
          <w:sz w:val="24"/>
          <w:szCs w:val="24"/>
          <w:lang w:bidi="ar-SA"/>
        </w:rPr>
      </w:pPr>
      <w:r w:rsidRPr="005A537B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האבחנה החדשה </w:t>
      </w:r>
      <w:r w:rsidR="002404AD" w:rsidRPr="005A537B">
        <w:rPr>
          <w:rFonts w:asciiTheme="minorBidi" w:hAnsiTheme="minorBidi"/>
          <w:b/>
          <w:bCs/>
          <w:color w:val="000000"/>
          <w:sz w:val="24"/>
          <w:szCs w:val="24"/>
          <w:rtl/>
        </w:rPr>
        <w:t>מציע</w:t>
      </w:r>
      <w:r w:rsidRPr="005A537B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ה </w:t>
      </w:r>
      <w:r w:rsidR="002404AD" w:rsidRPr="005A537B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 </w:t>
      </w:r>
      <w:r w:rsidRPr="005A537B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סיווג </w:t>
      </w:r>
      <w:r w:rsidR="002404AD" w:rsidRPr="005A537B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 ל</w:t>
      </w:r>
      <w:r w:rsidR="005A537B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>-</w:t>
      </w:r>
      <w:r w:rsidR="002404AD" w:rsidRPr="005A537B">
        <w:rPr>
          <w:rFonts w:asciiTheme="minorBidi" w:hAnsiTheme="minorBidi"/>
          <w:b/>
          <w:bCs/>
          <w:color w:val="000000"/>
          <w:sz w:val="24"/>
          <w:szCs w:val="24"/>
          <w:rtl/>
        </w:rPr>
        <w:t>5 קטגוריות</w:t>
      </w:r>
      <w:r w:rsidRPr="005A537B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 וטיפול בהתאם</w:t>
      </w:r>
      <w:r w:rsidR="002404AD" w:rsidRPr="005A537B">
        <w:rPr>
          <w:rFonts w:asciiTheme="minorBidi" w:hAnsiTheme="minorBidi"/>
          <w:b/>
          <w:bCs/>
          <w:color w:val="000000"/>
          <w:sz w:val="24"/>
          <w:szCs w:val="24"/>
          <w:rtl/>
        </w:rPr>
        <w:t>:</w:t>
      </w:r>
    </w:p>
    <w:p w:rsidR="002404AD" w:rsidRPr="005A537B" w:rsidRDefault="002404AD" w:rsidP="002404AD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4"/>
          <w:szCs w:val="24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7"/>
        <w:gridCol w:w="2637"/>
        <w:gridCol w:w="2988"/>
      </w:tblGrid>
      <w:tr w:rsidR="00B63730" w:rsidRPr="005A537B" w:rsidTr="009575B1">
        <w:tc>
          <w:tcPr>
            <w:tcW w:w="2897" w:type="dxa"/>
          </w:tcPr>
          <w:p w:rsidR="00B63730" w:rsidRPr="005A537B" w:rsidRDefault="00B63730" w:rsidP="002404A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A537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הגדרה </w:t>
            </w:r>
          </w:p>
        </w:tc>
        <w:tc>
          <w:tcPr>
            <w:tcW w:w="2637" w:type="dxa"/>
          </w:tcPr>
          <w:p w:rsidR="00B63730" w:rsidRPr="005A537B" w:rsidRDefault="00B63730" w:rsidP="009575B1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A537B">
              <w:rPr>
                <w:rFonts w:asciiTheme="minorBidi" w:hAnsiTheme="minorBidi"/>
                <w:color w:val="000000"/>
                <w:sz w:val="24"/>
                <w:szCs w:val="24"/>
                <w:lang w:bidi="ar-SA"/>
              </w:rPr>
              <w:t>BMI+</w:t>
            </w:r>
            <w:r w:rsidRPr="005A537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סיבוכים וחומרתם </w:t>
            </w:r>
          </w:p>
        </w:tc>
        <w:tc>
          <w:tcPr>
            <w:tcW w:w="2988" w:type="dxa"/>
          </w:tcPr>
          <w:p w:rsidR="00B63730" w:rsidRPr="005A537B" w:rsidRDefault="00B63730" w:rsidP="002404A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A537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הטיפול המומלץ</w:t>
            </w:r>
          </w:p>
        </w:tc>
      </w:tr>
      <w:tr w:rsidR="009575B1" w:rsidRPr="005A537B" w:rsidTr="009575B1">
        <w:tc>
          <w:tcPr>
            <w:tcW w:w="2897" w:type="dxa"/>
          </w:tcPr>
          <w:p w:rsidR="009575B1" w:rsidRPr="005A537B" w:rsidRDefault="009575B1" w:rsidP="002404A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A537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משקל נורמאלי </w:t>
            </w:r>
          </w:p>
        </w:tc>
        <w:tc>
          <w:tcPr>
            <w:tcW w:w="2637" w:type="dxa"/>
          </w:tcPr>
          <w:p w:rsidR="009575B1" w:rsidRPr="005A537B" w:rsidRDefault="009575B1" w:rsidP="009575B1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lang w:bidi="ar-SA"/>
              </w:rPr>
            </w:pPr>
            <w:r w:rsidRPr="005A537B">
              <w:rPr>
                <w:rFonts w:asciiTheme="minorBidi" w:hAnsiTheme="minorBidi"/>
                <w:color w:val="000000"/>
                <w:sz w:val="24"/>
                <w:szCs w:val="24"/>
                <w:lang w:bidi="ar-SA"/>
              </w:rPr>
              <w:t>(BMI &lt; 25).</w:t>
            </w:r>
          </w:p>
          <w:p w:rsidR="009575B1" w:rsidRPr="005A537B" w:rsidRDefault="009575B1" w:rsidP="002404A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9575B1" w:rsidRPr="005A537B" w:rsidRDefault="009575B1" w:rsidP="002404A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9575B1" w:rsidRPr="005A537B" w:rsidTr="009575B1">
        <w:tc>
          <w:tcPr>
            <w:tcW w:w="2897" w:type="dxa"/>
          </w:tcPr>
          <w:p w:rsidR="009575B1" w:rsidRPr="005A537B" w:rsidRDefault="009575B1" w:rsidP="002404A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A537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עודף משקל </w:t>
            </w:r>
          </w:p>
        </w:tc>
        <w:tc>
          <w:tcPr>
            <w:tcW w:w="2637" w:type="dxa"/>
          </w:tcPr>
          <w:p w:rsidR="009575B1" w:rsidRPr="005A537B" w:rsidRDefault="009575B1" w:rsidP="002404A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lang w:bidi="ar-SA"/>
              </w:rPr>
            </w:pPr>
            <w:r w:rsidRPr="005A537B">
              <w:rPr>
                <w:rFonts w:asciiTheme="minorBidi" w:hAnsiTheme="minorBidi"/>
                <w:color w:val="000000"/>
                <w:sz w:val="24"/>
                <w:szCs w:val="24"/>
                <w:lang w:bidi="ar-SA"/>
              </w:rPr>
              <w:t>(BMI 25–29.9, no obesity-related complications</w:t>
            </w:r>
          </w:p>
        </w:tc>
        <w:tc>
          <w:tcPr>
            <w:tcW w:w="2988" w:type="dxa"/>
          </w:tcPr>
          <w:p w:rsidR="009575B1" w:rsidRPr="005A537B" w:rsidRDefault="009575B1" w:rsidP="002404A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9575B1" w:rsidRPr="005A537B" w:rsidTr="009575B1">
        <w:tc>
          <w:tcPr>
            <w:tcW w:w="2897" w:type="dxa"/>
          </w:tcPr>
          <w:p w:rsidR="009575B1" w:rsidRPr="005A537B" w:rsidRDefault="009575B1" w:rsidP="002404A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A537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השמנה דרגה 0</w:t>
            </w:r>
          </w:p>
        </w:tc>
        <w:tc>
          <w:tcPr>
            <w:tcW w:w="2637" w:type="dxa"/>
          </w:tcPr>
          <w:p w:rsidR="009575B1" w:rsidRPr="005A537B" w:rsidRDefault="009575B1" w:rsidP="002404A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A537B">
              <w:rPr>
                <w:rFonts w:asciiTheme="minorBidi" w:hAnsiTheme="minorBidi"/>
                <w:color w:val="000000"/>
                <w:sz w:val="24"/>
                <w:szCs w:val="24"/>
                <w:lang w:bidi="ar-SA"/>
              </w:rPr>
              <w:t>(BMI 25–29.9, no obesity-related complications).</w:t>
            </w:r>
          </w:p>
        </w:tc>
        <w:tc>
          <w:tcPr>
            <w:tcW w:w="2988" w:type="dxa"/>
          </w:tcPr>
          <w:p w:rsidR="009575B1" w:rsidRPr="005A537B" w:rsidRDefault="009575B1" w:rsidP="002404A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A537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שינוי אורח חיים</w:t>
            </w:r>
          </w:p>
        </w:tc>
      </w:tr>
      <w:tr w:rsidR="009575B1" w:rsidRPr="005A537B" w:rsidTr="009575B1">
        <w:tc>
          <w:tcPr>
            <w:tcW w:w="2897" w:type="dxa"/>
          </w:tcPr>
          <w:p w:rsidR="009575B1" w:rsidRPr="005A537B" w:rsidRDefault="009575B1" w:rsidP="002404A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A537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השמנה דרגה 1</w:t>
            </w:r>
          </w:p>
        </w:tc>
        <w:tc>
          <w:tcPr>
            <w:tcW w:w="2637" w:type="dxa"/>
          </w:tcPr>
          <w:p w:rsidR="009575B1" w:rsidRPr="005A537B" w:rsidRDefault="009575B1" w:rsidP="002404A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A537B">
              <w:rPr>
                <w:rFonts w:asciiTheme="minorBidi" w:hAnsiTheme="minorBidi"/>
                <w:color w:val="000000"/>
                <w:sz w:val="24"/>
                <w:szCs w:val="24"/>
                <w:lang w:bidi="ar-SA"/>
              </w:rPr>
              <w:t>1 (BMI 25 or greater* and the presence of 1 or more mild to moderate obesity-related complications</w:t>
            </w:r>
          </w:p>
        </w:tc>
        <w:tc>
          <w:tcPr>
            <w:tcW w:w="2988" w:type="dxa"/>
          </w:tcPr>
          <w:p w:rsidR="009575B1" w:rsidRPr="005A537B" w:rsidRDefault="009575B1" w:rsidP="002404A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A537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שינוי אינטנסיבי של אורח החיים / טיפול התנהגותי  עם או בלי טיפול תרופתי</w:t>
            </w:r>
          </w:p>
        </w:tc>
      </w:tr>
      <w:tr w:rsidR="009575B1" w:rsidRPr="005A537B" w:rsidTr="009575B1">
        <w:tc>
          <w:tcPr>
            <w:tcW w:w="2897" w:type="dxa"/>
          </w:tcPr>
          <w:p w:rsidR="009575B1" w:rsidRPr="005A537B" w:rsidRDefault="009575B1" w:rsidP="002404A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A537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השמנה דרגה 2</w:t>
            </w:r>
          </w:p>
        </w:tc>
        <w:tc>
          <w:tcPr>
            <w:tcW w:w="2637" w:type="dxa"/>
          </w:tcPr>
          <w:p w:rsidR="009575B1" w:rsidRPr="005A537B" w:rsidRDefault="009575B1" w:rsidP="009575B1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A537B">
              <w:rPr>
                <w:rFonts w:asciiTheme="minorBidi" w:hAnsiTheme="minorBidi"/>
                <w:color w:val="000000"/>
                <w:sz w:val="24"/>
                <w:szCs w:val="24"/>
                <w:lang w:bidi="ar-SA"/>
              </w:rPr>
              <w:t>BMI 25 or greater* and the presence of 1 or more severe obesity-related complications</w:t>
            </w:r>
          </w:p>
        </w:tc>
        <w:tc>
          <w:tcPr>
            <w:tcW w:w="2988" w:type="dxa"/>
          </w:tcPr>
          <w:p w:rsidR="009575B1" w:rsidRPr="005A537B" w:rsidRDefault="009575B1" w:rsidP="009575B1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A537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שינוי אינטנסיבי של אורח החיים / טיפול התנהגותי  עם טיפול תרופתי+ אפשרות לניתוח בריטרי </w:t>
            </w:r>
          </w:p>
        </w:tc>
      </w:tr>
    </w:tbl>
    <w:p w:rsidR="00B63730" w:rsidRPr="005A537B" w:rsidRDefault="00B63730" w:rsidP="00B6373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4"/>
          <w:szCs w:val="24"/>
          <w:u w:val="single"/>
          <w:rtl/>
        </w:rPr>
      </w:pPr>
    </w:p>
    <w:p w:rsidR="00B63730" w:rsidRPr="005A537B" w:rsidRDefault="00B63730" w:rsidP="00B6373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5A537B">
        <w:rPr>
          <w:rFonts w:asciiTheme="minorBidi" w:hAnsiTheme="minorBidi"/>
          <w:color w:val="000000"/>
          <w:sz w:val="24"/>
          <w:szCs w:val="24"/>
          <w:u w:val="single"/>
          <w:rtl/>
        </w:rPr>
        <w:t xml:space="preserve">סיבוכים קשורים בהשמנה כוללים 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: </w:t>
      </w:r>
    </w:p>
    <w:p w:rsidR="00B63730" w:rsidRPr="005A537B" w:rsidRDefault="00B63730" w:rsidP="005A537B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5A537B">
        <w:rPr>
          <w:rFonts w:asciiTheme="minorBidi" w:hAnsiTheme="minorBidi"/>
          <w:color w:val="000000"/>
          <w:sz w:val="24"/>
          <w:szCs w:val="24"/>
          <w:rtl/>
        </w:rPr>
        <w:t>סינדרום מטבולי, קדם סוכרת ,סוכרת סוג 2 ,דיסליפידמיה , יתר לחץ דם</w:t>
      </w:r>
      <w:r w:rsidR="005A537B" w:rsidRPr="005A537B">
        <w:rPr>
          <w:rFonts w:asciiTheme="minorBidi" w:hAnsiTheme="minorBidi"/>
          <w:color w:val="000000"/>
          <w:sz w:val="24"/>
          <w:szCs w:val="24"/>
          <w:rtl/>
        </w:rPr>
        <w:t xml:space="preserve">, 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>כבד שומני לא אלכוהולי, שחלות פוליציסטיות, תסמונת דום שינה , אוסטאוארטיריטיס, רפלוקס גסטרואזו</w:t>
      </w:r>
      <w:r w:rsidR="005A537B" w:rsidRPr="005A537B">
        <w:rPr>
          <w:rFonts w:asciiTheme="minorBidi" w:hAnsiTheme="minorBidi"/>
          <w:color w:val="000000"/>
          <w:sz w:val="24"/>
          <w:szCs w:val="24"/>
          <w:rtl/>
        </w:rPr>
        <w:t>פ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>גלי</w:t>
      </w:r>
      <w:r w:rsidR="005A537B" w:rsidRPr="005A537B">
        <w:rPr>
          <w:rFonts w:asciiTheme="minorBidi" w:hAnsiTheme="minorBidi"/>
          <w:color w:val="000000"/>
          <w:sz w:val="24"/>
          <w:szCs w:val="24"/>
          <w:rtl/>
        </w:rPr>
        <w:t>,</w:t>
      </w:r>
      <w:r w:rsidRPr="005A537B">
        <w:rPr>
          <w:rFonts w:asciiTheme="minorBidi" w:hAnsiTheme="minorBidi"/>
          <w:color w:val="000000"/>
          <w:sz w:val="24"/>
          <w:szCs w:val="24"/>
          <w:rtl/>
        </w:rPr>
        <w:t xml:space="preserve"> נכות/ חוסר ניידות.</w:t>
      </w:r>
    </w:p>
    <w:p w:rsidR="004E115F" w:rsidRPr="005A537B" w:rsidRDefault="004E115F" w:rsidP="00CB5B4E">
      <w:pPr>
        <w:spacing w:line="360" w:lineRule="auto"/>
        <w:rPr>
          <w:rFonts w:asciiTheme="minorBidi" w:hAnsiTheme="minorBidi"/>
          <w:color w:val="000000"/>
          <w:sz w:val="24"/>
          <w:szCs w:val="24"/>
          <w:rtl/>
        </w:rPr>
      </w:pPr>
    </w:p>
    <w:p w:rsidR="004E115F" w:rsidRPr="005A537B" w:rsidRDefault="004E115F" w:rsidP="00CB5B4E">
      <w:pPr>
        <w:spacing w:line="360" w:lineRule="auto"/>
        <w:rPr>
          <w:rFonts w:asciiTheme="minorBidi" w:hAnsiTheme="minorBidi"/>
          <w:color w:val="000000"/>
          <w:sz w:val="24"/>
          <w:szCs w:val="24"/>
          <w:rtl/>
        </w:rPr>
      </w:pPr>
    </w:p>
    <w:p w:rsidR="0023755D" w:rsidRPr="005A537B" w:rsidRDefault="0023755D" w:rsidP="0023755D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sectPr w:rsidR="0023755D" w:rsidRPr="005A537B" w:rsidSect="00A963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46"/>
    <w:rsid w:val="00001F49"/>
    <w:rsid w:val="00007D7C"/>
    <w:rsid w:val="00022BB7"/>
    <w:rsid w:val="00031962"/>
    <w:rsid w:val="0004275D"/>
    <w:rsid w:val="000506DE"/>
    <w:rsid w:val="00063992"/>
    <w:rsid w:val="00063E20"/>
    <w:rsid w:val="00066D76"/>
    <w:rsid w:val="00081CEF"/>
    <w:rsid w:val="0008421C"/>
    <w:rsid w:val="000854AE"/>
    <w:rsid w:val="000A3965"/>
    <w:rsid w:val="000A6379"/>
    <w:rsid w:val="000E470B"/>
    <w:rsid w:val="0014115A"/>
    <w:rsid w:val="00155194"/>
    <w:rsid w:val="0017413D"/>
    <w:rsid w:val="001B4A3C"/>
    <w:rsid w:val="001C6CA4"/>
    <w:rsid w:val="001D63E0"/>
    <w:rsid w:val="0021131D"/>
    <w:rsid w:val="00217A2C"/>
    <w:rsid w:val="0023755D"/>
    <w:rsid w:val="002404AD"/>
    <w:rsid w:val="00257C69"/>
    <w:rsid w:val="002A22AA"/>
    <w:rsid w:val="002C2870"/>
    <w:rsid w:val="002E3951"/>
    <w:rsid w:val="002F00C6"/>
    <w:rsid w:val="003637E3"/>
    <w:rsid w:val="00363A7E"/>
    <w:rsid w:val="0038003D"/>
    <w:rsid w:val="00392724"/>
    <w:rsid w:val="003B11E9"/>
    <w:rsid w:val="003C510B"/>
    <w:rsid w:val="003E4697"/>
    <w:rsid w:val="003F4EB0"/>
    <w:rsid w:val="00414D7F"/>
    <w:rsid w:val="00416E9B"/>
    <w:rsid w:val="00455E7A"/>
    <w:rsid w:val="00495CAD"/>
    <w:rsid w:val="00497E0A"/>
    <w:rsid w:val="004A1EE3"/>
    <w:rsid w:val="004E115F"/>
    <w:rsid w:val="005015F8"/>
    <w:rsid w:val="00511BE6"/>
    <w:rsid w:val="005528F9"/>
    <w:rsid w:val="00560508"/>
    <w:rsid w:val="00587ECE"/>
    <w:rsid w:val="005A537B"/>
    <w:rsid w:val="005A73EF"/>
    <w:rsid w:val="00605CB6"/>
    <w:rsid w:val="00622544"/>
    <w:rsid w:val="0067171F"/>
    <w:rsid w:val="006872C5"/>
    <w:rsid w:val="00694335"/>
    <w:rsid w:val="00757207"/>
    <w:rsid w:val="007968BD"/>
    <w:rsid w:val="007A0027"/>
    <w:rsid w:val="007B31C8"/>
    <w:rsid w:val="007D7379"/>
    <w:rsid w:val="008245A0"/>
    <w:rsid w:val="0084483C"/>
    <w:rsid w:val="00861F61"/>
    <w:rsid w:val="008B2972"/>
    <w:rsid w:val="008C3BA7"/>
    <w:rsid w:val="008F16DC"/>
    <w:rsid w:val="009176A6"/>
    <w:rsid w:val="009575B1"/>
    <w:rsid w:val="00960175"/>
    <w:rsid w:val="009848A3"/>
    <w:rsid w:val="009B67E8"/>
    <w:rsid w:val="009C6BE8"/>
    <w:rsid w:val="009D4237"/>
    <w:rsid w:val="009E1003"/>
    <w:rsid w:val="009E1AC3"/>
    <w:rsid w:val="009E51DE"/>
    <w:rsid w:val="009F2430"/>
    <w:rsid w:val="00A00494"/>
    <w:rsid w:val="00A13BBD"/>
    <w:rsid w:val="00A61F59"/>
    <w:rsid w:val="00A628D9"/>
    <w:rsid w:val="00A634B5"/>
    <w:rsid w:val="00A64BE8"/>
    <w:rsid w:val="00A96333"/>
    <w:rsid w:val="00AA5D88"/>
    <w:rsid w:val="00AA6524"/>
    <w:rsid w:val="00B569E4"/>
    <w:rsid w:val="00B63730"/>
    <w:rsid w:val="00B73172"/>
    <w:rsid w:val="00BC1ED7"/>
    <w:rsid w:val="00BD3496"/>
    <w:rsid w:val="00C00BF3"/>
    <w:rsid w:val="00C12BAB"/>
    <w:rsid w:val="00C572FA"/>
    <w:rsid w:val="00C67516"/>
    <w:rsid w:val="00CB1358"/>
    <w:rsid w:val="00CB5B4E"/>
    <w:rsid w:val="00CE2880"/>
    <w:rsid w:val="00CF15C4"/>
    <w:rsid w:val="00CF2664"/>
    <w:rsid w:val="00CF6BF7"/>
    <w:rsid w:val="00D01785"/>
    <w:rsid w:val="00D47BB6"/>
    <w:rsid w:val="00DD30DA"/>
    <w:rsid w:val="00E95C88"/>
    <w:rsid w:val="00EA0001"/>
    <w:rsid w:val="00EB6F55"/>
    <w:rsid w:val="00EC4667"/>
    <w:rsid w:val="00ED3522"/>
    <w:rsid w:val="00ED7203"/>
    <w:rsid w:val="00EE3A6F"/>
    <w:rsid w:val="00EE5F16"/>
    <w:rsid w:val="00EF6C46"/>
    <w:rsid w:val="00F149A2"/>
    <w:rsid w:val="00F259F5"/>
    <w:rsid w:val="00FB0349"/>
    <w:rsid w:val="00FB0B10"/>
    <w:rsid w:val="00FB4280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7C1B9-BC10-4D64-B762-1A65670B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2</cp:revision>
  <dcterms:created xsi:type="dcterms:W3CDTF">2014-06-16T14:34:00Z</dcterms:created>
  <dcterms:modified xsi:type="dcterms:W3CDTF">2014-06-16T14:34:00Z</dcterms:modified>
</cp:coreProperties>
</file>